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1F74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0CB9ED2" w14:textId="1474D7B3" w:rsidR="00EB1C5A" w:rsidRDefault="00EB1C5A" w:rsidP="004321DB">
      <w:pPr>
        <w:pStyle w:val="F2-zkladn"/>
        <w:tabs>
          <w:tab w:val="right" w:pos="9070"/>
        </w:tabs>
      </w:pPr>
      <w:r>
        <w:tab/>
      </w:r>
      <w:r w:rsidR="00D04011">
        <w:t xml:space="preserve">Praha, </w:t>
      </w:r>
      <w:r w:rsidR="00F56798">
        <w:t>30</w:t>
      </w:r>
      <w:r w:rsidR="008169C7">
        <w:t>. října 201</w:t>
      </w:r>
      <w:r w:rsidR="00F56798">
        <w:t>8</w:t>
      </w:r>
    </w:p>
    <w:p w14:paraId="59855A8E" w14:textId="59B335CA" w:rsidR="00D34881" w:rsidRPr="00564E75" w:rsidRDefault="2A16BA4A" w:rsidP="2A16BA4A">
      <w:pPr>
        <w:tabs>
          <w:tab w:val="right" w:pos="9070"/>
        </w:tabs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  <w:r w:rsidRPr="2A16BA4A">
        <w:rPr>
          <w:rFonts w:ascii="Arial" w:hAnsi="Arial" w:cs="Arial"/>
          <w:b/>
          <w:bCs/>
          <w:sz w:val="28"/>
          <w:szCs w:val="28"/>
        </w:rPr>
        <w:t>TPA vstupuje na trh podnikových informačních systémů</w:t>
      </w:r>
    </w:p>
    <w:p w14:paraId="6BEFD48C" w14:textId="77777777" w:rsidR="009D4C94" w:rsidRDefault="009D4C94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</w:p>
    <w:p w14:paraId="6AB9EC54" w14:textId="14FF5F33" w:rsidR="00D04011" w:rsidRPr="007B0AE7" w:rsidRDefault="57520CDA" w:rsidP="57520CDA">
      <w:pPr>
        <w:pStyle w:val="F2-zkladn"/>
        <w:tabs>
          <w:tab w:val="right" w:pos="9070"/>
        </w:tabs>
        <w:rPr>
          <w:rFonts w:eastAsia="Calibri"/>
          <w:b/>
          <w:bCs/>
          <w:lang w:eastAsia="en-US"/>
        </w:rPr>
      </w:pPr>
      <w:r w:rsidRPr="57520CDA">
        <w:rPr>
          <w:rFonts w:eastAsia="Calibri"/>
          <w:b/>
          <w:bCs/>
          <w:lang w:eastAsia="en-US"/>
        </w:rPr>
        <w:t xml:space="preserve">Poradenská společnost TPA významně rozšiřuje pole své působnosti o obor informačních systémů. Počátkem října se TPA stala </w:t>
      </w:r>
      <w:r w:rsidRPr="57520CDA">
        <w:rPr>
          <w:b/>
          <w:bCs/>
        </w:rPr>
        <w:t xml:space="preserve">partnerskou společností </w:t>
      </w:r>
      <w:proofErr w:type="spellStart"/>
      <w:r w:rsidRPr="57520CDA">
        <w:rPr>
          <w:b/>
          <w:bCs/>
        </w:rPr>
        <w:t>Asseco</w:t>
      </w:r>
      <w:proofErr w:type="spellEnd"/>
      <w:r w:rsidRPr="57520CDA">
        <w:rPr>
          <w:b/>
          <w:bCs/>
        </w:rPr>
        <w:t xml:space="preserve"> </w:t>
      </w:r>
      <w:proofErr w:type="spellStart"/>
      <w:r w:rsidRPr="57520CDA">
        <w:rPr>
          <w:b/>
          <w:bCs/>
        </w:rPr>
        <w:t>Solutions</w:t>
      </w:r>
      <w:proofErr w:type="spellEnd"/>
      <w:r w:rsidRPr="57520CDA">
        <w:rPr>
          <w:b/>
          <w:bCs/>
        </w:rPr>
        <w:t xml:space="preserve">, výrobce ERP systémů </w:t>
      </w:r>
      <w:hyperlink r:id="rId7">
        <w:r w:rsidRPr="57520CDA">
          <w:rPr>
            <w:rStyle w:val="Hypertextovodkaz"/>
            <w:b/>
            <w:bCs/>
          </w:rPr>
          <w:t>HELIOS</w:t>
        </w:r>
      </w:hyperlink>
      <w:r w:rsidRPr="57520CDA">
        <w:rPr>
          <w:b/>
          <w:bCs/>
        </w:rPr>
        <w:t>. Implementace tohoto nejrozšířenějšího původního českého ERP systému</w:t>
      </w:r>
      <w:r w:rsidR="00F56798">
        <w:rPr>
          <w:b/>
          <w:bCs/>
        </w:rPr>
        <w:br/>
      </w:r>
      <w:r w:rsidRPr="57520CDA">
        <w:rPr>
          <w:b/>
          <w:bCs/>
        </w:rPr>
        <w:t>v kombinaci s vysokou erudicí TPA v poradenství v oblasti ekonomických agend, skladového hospodářství a obchodu znamená pro klienty společnosti vysokou přidanou hodnotu a vítanou pomoc v dnešní době robotizace a digitalizace.</w:t>
      </w:r>
    </w:p>
    <w:p w14:paraId="36255E3A" w14:textId="5C033418" w:rsidR="57520CDA" w:rsidRDefault="57520CDA" w:rsidP="57520CDA">
      <w:pPr>
        <w:pStyle w:val="F2-zkladn"/>
        <w:spacing w:line="300" w:lineRule="atLeast"/>
      </w:pPr>
      <w:r>
        <w:t xml:space="preserve">Společnost TPA nabízí od počátku října jako partner </w:t>
      </w:r>
      <w:proofErr w:type="spellStart"/>
      <w:r>
        <w:t>Asseco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svým současným i budoucím klientům poradenství a implementaci informačního systému </w:t>
      </w:r>
      <w:hyperlink r:id="rId8">
        <w:r w:rsidRPr="57520CDA">
          <w:rPr>
            <w:rStyle w:val="Hypertextovodkaz"/>
          </w:rPr>
          <w:t>HELIOS Orange</w:t>
        </w:r>
      </w:hyperlink>
      <w:r>
        <w:t>. Jedná se o nejrozšířenější český ERP systém v segmentu středně velkých společností. Více o systému HELIOS Orange</w:t>
      </w:r>
      <w:r w:rsidR="00F56798">
        <w:br/>
      </w:r>
      <w:r>
        <w:t xml:space="preserve">na </w:t>
      </w:r>
      <w:hyperlink r:id="rId9">
        <w:r w:rsidRPr="57520CDA">
          <w:rPr>
            <w:rStyle w:val="Hypertextovodkaz"/>
          </w:rPr>
          <w:t>https://www.tpa-group.cz/cs/sluzby/informacni-systemy/</w:t>
        </w:r>
      </w:hyperlink>
      <w:r>
        <w:t xml:space="preserve">. </w:t>
      </w:r>
    </w:p>
    <w:p w14:paraId="5F5C17A4" w14:textId="77777777" w:rsidR="00784698" w:rsidRPr="005C345A" w:rsidRDefault="005C345A" w:rsidP="005C345A">
      <w:pPr>
        <w:pStyle w:val="F2-zkladn"/>
        <w:tabs>
          <w:tab w:val="right" w:pos="9070"/>
        </w:tabs>
        <w:spacing w:line="300" w:lineRule="atLeast"/>
      </w:pPr>
      <w:r w:rsidRPr="002F2ADF">
        <w:rPr>
          <w:i/>
        </w:rPr>
        <w:t>„Dokonalá znalost podnikových procesů společně s kvalitním ERP systémem tvoří KNOW-HOW, které je základem každé úspěšné implementace,“</w:t>
      </w:r>
      <w:r>
        <w:t xml:space="preserve"> vysvětluje Jan Líbal, Senior </w:t>
      </w:r>
      <w:proofErr w:type="spellStart"/>
      <w:r>
        <w:t>Manager</w:t>
      </w:r>
      <w:proofErr w:type="spellEnd"/>
      <w:r>
        <w:t xml:space="preserve"> oddělení (divize) ERP služeb, který má v </w:t>
      </w:r>
      <w:r w:rsidR="002F2ADF">
        <w:t xml:space="preserve">oblasti ERP systémů </w:t>
      </w:r>
      <w:r>
        <w:t>mnohalet</w:t>
      </w:r>
      <w:r w:rsidR="002F2ADF">
        <w:t>é</w:t>
      </w:r>
      <w:r>
        <w:t xml:space="preserve"> zkušenosti. </w:t>
      </w:r>
      <w:r w:rsidR="002F2ADF" w:rsidRPr="002F2ADF">
        <w:rPr>
          <w:i/>
        </w:rPr>
        <w:t>„</w:t>
      </w:r>
      <w:r w:rsidRPr="002F2ADF">
        <w:rPr>
          <w:i/>
        </w:rPr>
        <w:t xml:space="preserve">TPA jako </w:t>
      </w:r>
      <w:r w:rsidR="002F2ADF" w:rsidRPr="002F2ADF">
        <w:rPr>
          <w:i/>
        </w:rPr>
        <w:t xml:space="preserve">přední </w:t>
      </w:r>
      <w:r w:rsidRPr="002F2ADF">
        <w:rPr>
          <w:i/>
        </w:rPr>
        <w:t xml:space="preserve">poradenská společnost přirozeně </w:t>
      </w:r>
      <w:r w:rsidR="002F2ADF" w:rsidRPr="002F2ADF">
        <w:rPr>
          <w:i/>
        </w:rPr>
        <w:t>t</w:t>
      </w:r>
      <w:r w:rsidR="008169C7">
        <w:rPr>
          <w:i/>
        </w:rPr>
        <w:t>ě</w:t>
      </w:r>
      <w:r w:rsidR="002F2ADF" w:rsidRPr="002F2ADF">
        <w:rPr>
          <w:i/>
        </w:rPr>
        <w:t>mito znalostmi</w:t>
      </w:r>
      <w:r w:rsidRPr="002F2ADF">
        <w:rPr>
          <w:i/>
        </w:rPr>
        <w:t xml:space="preserve"> disponuje</w:t>
      </w:r>
      <w:r w:rsidR="002F2ADF" w:rsidRPr="002F2ADF">
        <w:rPr>
          <w:i/>
        </w:rPr>
        <w:t>,</w:t>
      </w:r>
      <w:r w:rsidRPr="002F2ADF">
        <w:rPr>
          <w:i/>
        </w:rPr>
        <w:t xml:space="preserve"> a proto jsme přesvědčeni, že toto výjimečné spojení naši zákazníci ocení a </w:t>
      </w:r>
      <w:r w:rsidR="002F2ADF" w:rsidRPr="002F2ADF">
        <w:rPr>
          <w:i/>
        </w:rPr>
        <w:t xml:space="preserve">velmi uvítají možnosti dále </w:t>
      </w:r>
      <w:r w:rsidRPr="002F2ADF">
        <w:rPr>
          <w:i/>
        </w:rPr>
        <w:t>podpoř</w:t>
      </w:r>
      <w:r w:rsidR="002F2ADF" w:rsidRPr="002F2ADF">
        <w:rPr>
          <w:i/>
        </w:rPr>
        <w:t>it</w:t>
      </w:r>
      <w:r w:rsidRPr="002F2ADF">
        <w:rPr>
          <w:i/>
        </w:rPr>
        <w:t xml:space="preserve"> </w:t>
      </w:r>
      <w:r w:rsidR="002F2ADF" w:rsidRPr="002F2ADF">
        <w:rPr>
          <w:i/>
        </w:rPr>
        <w:t>svůj</w:t>
      </w:r>
      <w:r w:rsidRPr="002F2ADF">
        <w:rPr>
          <w:i/>
        </w:rPr>
        <w:t xml:space="preserve"> byznys</w:t>
      </w:r>
      <w:r w:rsidR="002F2ADF" w:rsidRPr="002F2ADF">
        <w:rPr>
          <w:i/>
        </w:rPr>
        <w:t xml:space="preserve"> i v technologickém segmentu</w:t>
      </w:r>
      <w:r w:rsidRPr="002F2ADF">
        <w:rPr>
          <w:i/>
        </w:rPr>
        <w:t>.“</w:t>
      </w:r>
    </w:p>
    <w:p w14:paraId="6B03CE1C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28057BB" w14:textId="4DC0A624" w:rsidR="002F2ADF" w:rsidRDefault="57520CDA" w:rsidP="00D34881">
      <w:pPr>
        <w:pStyle w:val="F2-zkladn"/>
        <w:spacing w:after="120"/>
        <w:rPr>
          <w:highlight w:val="yellow"/>
        </w:rPr>
      </w:pPr>
      <w:r w:rsidRPr="57520CDA">
        <w:rPr>
          <w:i/>
          <w:iCs/>
        </w:rPr>
        <w:t xml:space="preserve">„Naše společnost se vždy </w:t>
      </w:r>
      <w:r w:rsidRPr="004E7B0C">
        <w:rPr>
          <w:i/>
          <w:iCs/>
        </w:rPr>
        <w:t>snaží</w:t>
      </w:r>
      <w:r w:rsidRPr="57520CDA">
        <w:rPr>
          <w:i/>
          <w:iCs/>
        </w:rPr>
        <w:t xml:space="preserve"> jít co nejvíce s dobou a svým klientům nabízet nejaktuálnější informace i řešení. </w:t>
      </w:r>
      <w:r w:rsidR="004E7B0C">
        <w:rPr>
          <w:i/>
          <w:iCs/>
        </w:rPr>
        <w:t xml:space="preserve">Pokoušíme </w:t>
      </w:r>
      <w:r w:rsidRPr="57520CDA">
        <w:rPr>
          <w:i/>
          <w:iCs/>
        </w:rPr>
        <w:t>se být vždy o krok napřed při zachování rozvahy a nadhledu. V době robotizace</w:t>
      </w:r>
      <w:r w:rsidR="00F56798">
        <w:rPr>
          <w:i/>
          <w:iCs/>
        </w:rPr>
        <w:br/>
      </w:r>
      <w:r w:rsidRPr="57520CDA">
        <w:rPr>
          <w:i/>
          <w:iCs/>
        </w:rPr>
        <w:t>a digitalizace chceme našim klientům umět dobře poradit i při rozhodování či změnách v oblasti informačních systémů a pomoci jim při výběru a implementaci, pokud si vyberou systém HELIOS Orange. Naše zkušenosti a znalosti ekonomického prostředí firmy a procesů k tomu jistě významně přispějí a následně napomohou hladkému zavedení systému a práce s ním,“</w:t>
      </w:r>
      <w:r>
        <w:t xml:space="preserve"> vysvětluje důvody rozšíření působení firmy Rostislav Kuneš, generální ředitel TPA. </w:t>
      </w:r>
    </w:p>
    <w:p w14:paraId="63041243" w14:textId="30D0FB1F" w:rsidR="57520CDA" w:rsidRDefault="57520CDA" w:rsidP="57520CDA">
      <w:pPr>
        <w:pStyle w:val="F2-zkladn"/>
        <w:spacing w:after="120"/>
      </w:pPr>
    </w:p>
    <w:p w14:paraId="10B24CD8" w14:textId="77777777" w:rsidR="00564E75" w:rsidRPr="005273DC" w:rsidRDefault="00564E75" w:rsidP="00564E75">
      <w:pPr>
        <w:autoSpaceDE w:val="0"/>
        <w:autoSpaceDN w:val="0"/>
        <w:adjustRightInd w:val="0"/>
        <w:jc w:val="both"/>
        <w:rPr>
          <w:rFonts w:cs="Calibri"/>
          <w:b/>
          <w:szCs w:val="20"/>
        </w:rPr>
      </w:pPr>
      <w:proofErr w:type="spellStart"/>
      <w:r w:rsidRPr="005273DC">
        <w:rPr>
          <w:rFonts w:cs="Calibri"/>
          <w:b/>
          <w:szCs w:val="20"/>
        </w:rPr>
        <w:t>Asseco</w:t>
      </w:r>
      <w:proofErr w:type="spellEnd"/>
      <w:r w:rsidRPr="005273DC">
        <w:rPr>
          <w:rFonts w:cs="Calibri"/>
          <w:b/>
          <w:szCs w:val="20"/>
        </w:rPr>
        <w:t xml:space="preserve"> </w:t>
      </w:r>
      <w:proofErr w:type="spellStart"/>
      <w:r w:rsidRPr="005273DC">
        <w:rPr>
          <w:rFonts w:cs="Calibri"/>
          <w:b/>
          <w:szCs w:val="20"/>
        </w:rPr>
        <w:t>Solutions</w:t>
      </w:r>
      <w:proofErr w:type="spellEnd"/>
    </w:p>
    <w:p w14:paraId="233ABEE2" w14:textId="584836B0" w:rsidR="00564E75" w:rsidRPr="004E7B0C" w:rsidRDefault="57520CDA" w:rsidP="004E7B0C">
      <w:pPr>
        <w:jc w:val="both"/>
      </w:pPr>
      <w:proofErr w:type="spellStart"/>
      <w:r w:rsidRPr="57520CDA">
        <w:rPr>
          <w:rFonts w:cs="Calibri"/>
        </w:rPr>
        <w:t>Asseco</w:t>
      </w:r>
      <w:proofErr w:type="spellEnd"/>
      <w:r w:rsidRPr="57520CDA">
        <w:rPr>
          <w:rFonts w:cs="Calibri"/>
        </w:rPr>
        <w:t xml:space="preserve"> </w:t>
      </w:r>
      <w:proofErr w:type="spellStart"/>
      <w:r w:rsidRPr="57520CDA">
        <w:rPr>
          <w:rFonts w:cs="Calibri"/>
        </w:rPr>
        <w:t>Solutions</w:t>
      </w:r>
      <w:proofErr w:type="spellEnd"/>
      <w:r w:rsidRPr="57520CDA">
        <w:rPr>
          <w:rFonts w:cs="Calibri"/>
        </w:rPr>
        <w:t>, a.s., je největším producentem podnikových informačních systémů na českém</w:t>
      </w:r>
      <w:r w:rsidR="00F56798">
        <w:rPr>
          <w:rFonts w:cs="Calibri"/>
        </w:rPr>
        <w:br/>
      </w:r>
      <w:r w:rsidRPr="57520CDA">
        <w:rPr>
          <w:rFonts w:cs="Calibri"/>
        </w:rPr>
        <w:t xml:space="preserve">a slovenském trhu. Softwarová řešení z jeho produkce jsou </w:t>
      </w:r>
      <w:r w:rsidR="004E7B0C">
        <w:t>distribuována i na další trhy</w:t>
      </w:r>
      <w:r w:rsidR="004E7B0C">
        <w:t/>
      </w:r>
      <w:r w:rsidR="004E7B0C">
        <w:t xml:space="preserve"> </w:t>
      </w:r>
      <w:r w:rsidRPr="57520CDA">
        <w:rPr>
          <w:rFonts w:cs="Calibri"/>
        </w:rPr>
        <w:t>v rámci střední Evropy. Společnost se zabývá nejen vývojem, ale také implementací a podporou specializovaných systémů pro organizace všech velikostí v nejrůznějších oblastech jejich působení. Produktové portfolio sahá od informačních systémů pro nejširší spektrum podniků, zabývajících se výrobou, obchodem</w:t>
      </w:r>
      <w:r w:rsidR="00F56798">
        <w:rPr>
          <w:rFonts w:cs="Calibri"/>
        </w:rPr>
        <w:br/>
      </w:r>
      <w:r w:rsidRPr="57520CDA">
        <w:rPr>
          <w:rFonts w:cs="Calibri"/>
        </w:rPr>
        <w:t xml:space="preserve">či službami, přes produkty pro oblast veřejné správy, až po např. produkty pokrývající specializované potřeby ubytovacích a stravovacích zařízení. Všechny produkty jsou doplněné širokou nabídkou služeb </w:t>
      </w:r>
      <w:r w:rsidRPr="57520CDA">
        <w:rPr>
          <w:rFonts w:cs="Calibri"/>
        </w:rPr>
        <w:lastRenderedPageBreak/>
        <w:t xml:space="preserve">a partnerských programů. Kromě základních modulů a funkcionalit poskytují též řešení pro jednotlivé oblasti podnikání, tzv. „oborová řešení“. </w:t>
      </w:r>
      <w:proofErr w:type="spellStart"/>
      <w:r w:rsidRPr="57520CDA">
        <w:rPr>
          <w:rFonts w:cs="Calibri"/>
        </w:rPr>
        <w:t>Asseco</w:t>
      </w:r>
      <w:proofErr w:type="spellEnd"/>
      <w:r w:rsidRPr="57520CDA">
        <w:rPr>
          <w:rFonts w:cs="Calibri"/>
        </w:rPr>
        <w:t xml:space="preserve"> </w:t>
      </w:r>
      <w:proofErr w:type="spellStart"/>
      <w:r w:rsidRPr="57520CDA">
        <w:rPr>
          <w:rFonts w:cs="Calibri"/>
        </w:rPr>
        <w:t>Solutions</w:t>
      </w:r>
      <w:proofErr w:type="spellEnd"/>
      <w:r w:rsidRPr="57520CDA">
        <w:rPr>
          <w:rFonts w:cs="Calibri"/>
        </w:rPr>
        <w:t xml:space="preserve"> je nositelem certifikátu kvality ISO 9001:2008 a je členem nadnárodní skupiny ASSECO Group.</w:t>
      </w:r>
    </w:p>
    <w:p w14:paraId="1FB9A85D" w14:textId="77777777" w:rsidR="00D34881" w:rsidRPr="00564E75" w:rsidRDefault="00564E75" w:rsidP="00564E75">
      <w:pPr>
        <w:jc w:val="both"/>
        <w:rPr>
          <w:rFonts w:cs="Calibri"/>
          <w:szCs w:val="20"/>
        </w:rPr>
      </w:pPr>
      <w:r w:rsidRPr="005273DC">
        <w:rPr>
          <w:rFonts w:cs="Calibri"/>
          <w:szCs w:val="20"/>
        </w:rPr>
        <w:t xml:space="preserve">Bližší informace lze nalézt na </w:t>
      </w:r>
      <w:hyperlink r:id="rId10" w:history="1">
        <w:r w:rsidRPr="005273DC">
          <w:rPr>
            <w:rStyle w:val="Hypertextovodkaz"/>
            <w:rFonts w:cs="Calibri"/>
            <w:szCs w:val="20"/>
          </w:rPr>
          <w:t>http://www.assecosolutions.com</w:t>
        </w:r>
      </w:hyperlink>
    </w:p>
    <w:p w14:paraId="307CBD78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C7D7B96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34FAFEE9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14:paraId="1C120D2F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7B90840F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7227384B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65A79765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6967EB29" w14:textId="77777777" w:rsidR="00EB1C5A" w:rsidRPr="00AF63E5" w:rsidRDefault="00F56798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52B56C32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1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15048E03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6AC8C661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336F6768" w14:textId="362E766E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</w:t>
      </w:r>
      <w:r w:rsidR="00F56798">
        <w:br/>
      </w:r>
      <w:r w:rsidRPr="00316C9E">
        <w:t>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2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3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  <w:bookmarkStart w:id="0" w:name="_GoBack"/>
      <w:bookmarkEnd w:id="0"/>
    </w:p>
    <w:p w14:paraId="53DED779" w14:textId="77777777" w:rsidR="001272D9" w:rsidRDefault="001272D9"/>
    <w:sectPr w:rsidR="001272D9" w:rsidSect="00316D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28BD" w14:textId="77777777" w:rsidR="00F55D98" w:rsidRDefault="00F55D98" w:rsidP="00087B0F">
      <w:pPr>
        <w:spacing w:after="0" w:line="240" w:lineRule="auto"/>
      </w:pPr>
      <w:r>
        <w:separator/>
      </w:r>
    </w:p>
  </w:endnote>
  <w:endnote w:type="continuationSeparator" w:id="0">
    <w:p w14:paraId="0ED937A1" w14:textId="77777777" w:rsidR="00F55D98" w:rsidRDefault="00F55D98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18D67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80B9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8474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B0B4A" w14:textId="77777777" w:rsidR="00F55D98" w:rsidRDefault="00F55D98" w:rsidP="00087B0F">
      <w:pPr>
        <w:spacing w:after="0" w:line="240" w:lineRule="auto"/>
      </w:pPr>
      <w:r>
        <w:separator/>
      </w:r>
    </w:p>
  </w:footnote>
  <w:footnote w:type="continuationSeparator" w:id="0">
    <w:p w14:paraId="78B1B6E9" w14:textId="77777777" w:rsidR="00F55D98" w:rsidRDefault="00F55D98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25C6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9696F" w14:textId="01A7BA62" w:rsidR="00704800" w:rsidRDefault="005350F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8CC27C" wp14:editId="01B1160E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FC1F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0F"/>
    <w:rsid w:val="000474F2"/>
    <w:rsid w:val="0005087E"/>
    <w:rsid w:val="00087B0F"/>
    <w:rsid w:val="000A2944"/>
    <w:rsid w:val="000B1F52"/>
    <w:rsid w:val="000F648D"/>
    <w:rsid w:val="001272D9"/>
    <w:rsid w:val="001833EC"/>
    <w:rsid w:val="001F387C"/>
    <w:rsid w:val="0027105E"/>
    <w:rsid w:val="002948D0"/>
    <w:rsid w:val="002A7D37"/>
    <w:rsid w:val="002F2ADF"/>
    <w:rsid w:val="003143B9"/>
    <w:rsid w:val="00316D20"/>
    <w:rsid w:val="00326A0C"/>
    <w:rsid w:val="00381597"/>
    <w:rsid w:val="00385385"/>
    <w:rsid w:val="003916F2"/>
    <w:rsid w:val="003B5AE8"/>
    <w:rsid w:val="004010C0"/>
    <w:rsid w:val="004321DB"/>
    <w:rsid w:val="00433B9A"/>
    <w:rsid w:val="00474216"/>
    <w:rsid w:val="00494A82"/>
    <w:rsid w:val="004D118F"/>
    <w:rsid w:val="004E7B0C"/>
    <w:rsid w:val="005138BC"/>
    <w:rsid w:val="0051646C"/>
    <w:rsid w:val="005350FC"/>
    <w:rsid w:val="0053615C"/>
    <w:rsid w:val="00564E75"/>
    <w:rsid w:val="00590F8E"/>
    <w:rsid w:val="005A2DC0"/>
    <w:rsid w:val="005C345A"/>
    <w:rsid w:val="00643BFA"/>
    <w:rsid w:val="00677F43"/>
    <w:rsid w:val="006A65B5"/>
    <w:rsid w:val="006D4B45"/>
    <w:rsid w:val="00704800"/>
    <w:rsid w:val="00735B2F"/>
    <w:rsid w:val="00784698"/>
    <w:rsid w:val="00792360"/>
    <w:rsid w:val="007B0AE7"/>
    <w:rsid w:val="007B5B26"/>
    <w:rsid w:val="007C65E0"/>
    <w:rsid w:val="007D4CFC"/>
    <w:rsid w:val="007E1A19"/>
    <w:rsid w:val="008169C7"/>
    <w:rsid w:val="00871553"/>
    <w:rsid w:val="008C12BF"/>
    <w:rsid w:val="008E0CBB"/>
    <w:rsid w:val="00911D3B"/>
    <w:rsid w:val="009756D1"/>
    <w:rsid w:val="0099767A"/>
    <w:rsid w:val="009D4C94"/>
    <w:rsid w:val="00A44B9A"/>
    <w:rsid w:val="00A71FE0"/>
    <w:rsid w:val="00AD6570"/>
    <w:rsid w:val="00AF63E5"/>
    <w:rsid w:val="00BB2F4F"/>
    <w:rsid w:val="00BC4A3D"/>
    <w:rsid w:val="00C43F8F"/>
    <w:rsid w:val="00CF722D"/>
    <w:rsid w:val="00D01576"/>
    <w:rsid w:val="00D04011"/>
    <w:rsid w:val="00D26944"/>
    <w:rsid w:val="00D34881"/>
    <w:rsid w:val="00D4284D"/>
    <w:rsid w:val="00D67270"/>
    <w:rsid w:val="00D72C84"/>
    <w:rsid w:val="00DA18DA"/>
    <w:rsid w:val="00DB5A81"/>
    <w:rsid w:val="00DB6D1B"/>
    <w:rsid w:val="00DD4756"/>
    <w:rsid w:val="00DF7E3A"/>
    <w:rsid w:val="00EA436F"/>
    <w:rsid w:val="00EB1C5A"/>
    <w:rsid w:val="00F32BD2"/>
    <w:rsid w:val="00F55D98"/>
    <w:rsid w:val="00F56798"/>
    <w:rsid w:val="00FE255D"/>
    <w:rsid w:val="2A16BA4A"/>
    <w:rsid w:val="5752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2D09C960"/>
  <w15:chartTrackingRefBased/>
  <w15:docId w15:val="{9B752DFB-B04D-407F-8435-0274FB0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a-group.cz/cs/sluzby/informacni-systemy/" TargetMode="External"/><Relationship Id="rId13" Type="http://schemas.openxmlformats.org/officeDocument/2006/relationships/hyperlink" Target="http://www.bakertilly.d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pa-group.cz/cs/sluzby/informacni-systemy/" TargetMode="External"/><Relationship Id="rId12" Type="http://schemas.openxmlformats.org/officeDocument/2006/relationships/hyperlink" Target="http://www.bakertillyinternational.com/web/home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ssecosolutions.co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tpa-group.cz/cs/sluzby/informacni-systemy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0583-AA89-492D-AECC-B93C4717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cp:lastModifiedBy>Pavla Linhartová</cp:lastModifiedBy>
  <cp:revision>3</cp:revision>
  <cp:lastPrinted>2016-08-25T12:42:00Z</cp:lastPrinted>
  <dcterms:created xsi:type="dcterms:W3CDTF">2018-10-17T05:57:00Z</dcterms:created>
  <dcterms:modified xsi:type="dcterms:W3CDTF">2018-10-29T12:33:00Z</dcterms:modified>
</cp:coreProperties>
</file>